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274e13"/>
          <w:sz w:val="84"/>
          <w:szCs w:val="84"/>
        </w:rPr>
      </w:pPr>
      <w:bookmarkStart w:colFirst="0" w:colLast="0" w:name="_nj23sjpj5u97" w:id="0"/>
      <w:bookmarkEnd w:id="0"/>
      <w:r w:rsidDel="00000000" w:rsidR="00000000" w:rsidRPr="00000000">
        <w:rPr>
          <w:color w:val="274e13"/>
          <w:rtl w:val="0"/>
        </w:rPr>
        <w:t xml:space="preserve">Missouri Green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6"/>
          <w:szCs w:val="36"/>
        </w:rPr>
      </w:pPr>
      <w:bookmarkStart w:colFirst="0" w:colLast="0" w:name="_ml9asl4g9utg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Expansion Project Fact Sheet</w:t>
      </w:r>
    </w:p>
    <w:p w:rsidR="00000000" w:rsidDel="00000000" w:rsidP="00000000" w:rsidRDefault="00000000" w:rsidRPr="00000000" w14:paraId="00000003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qy0ehwns5zow" w:id="2"/>
      <w:bookmarkEnd w:id="2"/>
      <w:r w:rsidDel="00000000" w:rsidR="00000000" w:rsidRPr="00000000">
        <w:rPr>
          <w:rtl w:val="0"/>
        </w:rPr>
        <w:t xml:space="preserve">Details current as of Oct. 1, 2019</w:t>
      </w:r>
    </w:p>
    <w:p w:rsidR="00000000" w:rsidDel="00000000" w:rsidP="00000000" w:rsidRDefault="00000000" w:rsidRPr="00000000" w14:paraId="00000004">
      <w:pPr>
        <w:widowControl w:val="1"/>
        <w:ind w:hanging="15"/>
        <w:jc w:val="center"/>
        <w:rPr/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</w:rPr>
        <w:drawing>
          <wp:inline distB="114300" distT="114300" distL="114300" distR="114300">
            <wp:extent cx="2220736" cy="1998663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0736" cy="1998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bookmarkStart w:colFirst="0" w:colLast="0" w:name="_yspy8tt3f0xe" w:id="3"/>
      <w:bookmarkEnd w:id="3"/>
      <w:r w:rsidDel="00000000" w:rsidR="00000000" w:rsidRPr="00000000">
        <w:rPr>
          <w:rtl w:val="0"/>
        </w:rPr>
        <w:t xml:space="preserve">OVERVIEW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 funding and other, varied support from the Missouri Foundation for Health (MFH), and collaboration with key partners USGBC-Missouri Gateway Chapter (USGBC-MGC) and Missouri River Communities Network (MRCN), the Missouri Environmental Education Association (MEEA) will engage in a 3-year project to: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1) expand our capacity to enroll more Missouri schools in the Missouri Green Schools (MGS) program and provide state-level recognition to MGS schools, and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engage high needs Missouri schools in MGS by providing extra support following the MFH Healthy Schools Healthy Communities (HSHC) model, which we are designating MGS+. Launch of MGS+ services anticipated Fall 2020.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wc9p4suy3xou" w:id="4"/>
      <w:bookmarkEnd w:id="4"/>
      <w:r w:rsidDel="00000000" w:rsidR="00000000" w:rsidRPr="00000000">
        <w:rPr>
          <w:rtl w:val="0"/>
        </w:rPr>
        <w:t xml:space="preserve">HOW DOES MISSOURI GREEN SCHOOLS WORK?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spacing w:before="100" w:line="312" w:lineRule="auto"/>
        <w:ind w:left="720" w:hanging="360"/>
        <w:rPr>
          <w:color w:val="434343"/>
          <w:sz w:val="20"/>
          <w:szCs w:val="20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Schools establish a Green Team 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spacing w:before="100" w:line="312" w:lineRule="auto"/>
        <w:ind w:left="720" w:hanging="360"/>
        <w:rPr>
          <w:color w:val="434343"/>
          <w:sz w:val="20"/>
          <w:szCs w:val="20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Schools enroll in MGS and conduct a self-assessment for each pillar of a green school: environmental impact, health and wellness, sustainability education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spacing w:before="100" w:line="312" w:lineRule="auto"/>
        <w:ind w:left="720" w:hanging="360"/>
        <w:rPr>
          <w:color w:val="434343"/>
          <w:sz w:val="20"/>
          <w:szCs w:val="20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Schools use the MGS assessment tool to generate ideas for next steps and develop action plans; MGS+ enrollees receive extra support to set and achieve goals across all 3 pillars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spacing w:before="100" w:line="312" w:lineRule="auto"/>
        <w:ind w:left="720" w:hanging="360"/>
        <w:rPr>
          <w:color w:val="434343"/>
          <w:sz w:val="20"/>
          <w:szCs w:val="20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Schools receive recognition for reaching Emerging, Progressing, and Advanced Levels of MGS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spacing w:before="100" w:line="312" w:lineRule="auto"/>
        <w:ind w:left="720" w:hanging="360"/>
        <w:rPr>
          <w:color w:val="434343"/>
          <w:sz w:val="20"/>
          <w:szCs w:val="20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Advanced Level schools are eligible for the US Department of Education Green Ribbon School Award</w:t>
      </w:r>
    </w:p>
    <w:p w:rsidR="00000000" w:rsidDel="00000000" w:rsidP="00000000" w:rsidRDefault="00000000" w:rsidRPr="00000000" w14:paraId="0000000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274e13"/>
        </w:rPr>
      </w:pPr>
      <w:bookmarkStart w:colFirst="0" w:colLast="0" w:name="_7ugdzd5piun" w:id="5"/>
      <w:bookmarkEnd w:id="5"/>
      <w:r w:rsidDel="00000000" w:rsidR="00000000" w:rsidRPr="00000000">
        <w:rPr>
          <w:color w:val="274e13"/>
          <w:rtl w:val="0"/>
        </w:rPr>
        <w:t xml:space="preserve">missourigreenschools.org</w:t>
      </w:r>
    </w:p>
    <w:p w:rsidR="00000000" w:rsidDel="00000000" w:rsidP="00000000" w:rsidRDefault="00000000" w:rsidRPr="00000000" w14:paraId="0000001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j029qj88ti5" w:id="6"/>
      <w:bookmarkEnd w:id="6"/>
      <w:r w:rsidDel="00000000" w:rsidR="00000000" w:rsidRPr="00000000">
        <w:rPr>
          <w:rtl w:val="0"/>
        </w:rPr>
        <w:t xml:space="preserve">MFH SERVICE AREA &amp; ‘HEALTHY SCHOOLS HEALTHY COMMUNITIES’ MODEL OF SUPPORT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MGS+ approach based on HSHC model: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Site visits to schools to provide training in baseline assessments, action planning, data collection, and progress tracking 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Monthly phone calls with Green Teams, which include school staff from multiple departments, parents, community partners for site-specific projects, and MGS partners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Assistance with action planning and troubleshooting via phone and email as needed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Incorporate feedback mechanisms into relationships with MGS+ schools (surveys, interviews) that provide insight into factors that lead to high-impact, long-lived changes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Funding support for professional development opportunities and a small grants program for buildings and grounds improvements or other capacity-building needs as determined by the school 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before="0" w:beforeAutospacing="0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Following the HSHC model, schools with 60% or higher rate of Free and Reduced Lunch Plan eligibility will be given priority to enroll in MGS+. If our organizational capacity allows, the threshold could be reduced to 40%.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MFH Service area excludes the KC and Northwest regions of MEEA’s membership regions. Schools in these 2 regions may enroll in MGS, but we do not have the capacity to provide MGS+ services at this time. By the end of the 3-year project with MFH, or sooner if we raise funds for that, we should have the capacity to start providing extra support for these regions. </w:t>
      </w:r>
    </w:p>
    <w:p w:rsidR="00000000" w:rsidDel="00000000" w:rsidP="00000000" w:rsidRDefault="00000000" w:rsidRPr="00000000" w14:paraId="0000001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f1tvazoykknq" w:id="7"/>
      <w:bookmarkEnd w:id="7"/>
      <w:r w:rsidDel="00000000" w:rsidR="00000000" w:rsidRPr="00000000">
        <w:rPr>
          <w:rtl w:val="0"/>
        </w:rPr>
        <w:t xml:space="preserve">STAFF SUPPORT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Bring in AmeriCorps VISTAs by the end of Year 1 to build the capacity of MGS generally and to provide some of the 1:1 consultations to MGS+ schools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MEEA, USGBC-MGC, and MRCN will dedicate staff time to promoting MGS/MGS+ to school system leaders and providing training and 1:1 support to MGS+ schools and VISTAs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MEEA and USGBC-MGC will continue to work closely with the MGS Committee to roll out a state-level MGS recognition program and to incorporate an online assessment and tracking tool for use by all MGS schools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MEEA, USGBC, and MRCN will work collectively to develop and promote MGS Partnership Network. First steps toward this will take place at MELAB on Dec. 12, 2019.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MEEA and partners will create a Fund Development Plan for the small grants program for MGS+ schools; MFH has seeded this fund with $42,000.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 MFH support includes media coaching, partnership development, convening space, troubleshooting, and grant-writing assistance. So many wonderful resources via this amazing organization!</w:t>
      </w:r>
    </w:p>
    <w:p w:rsidR="00000000" w:rsidDel="00000000" w:rsidP="00000000" w:rsidRDefault="00000000" w:rsidRPr="00000000" w14:paraId="00000020">
      <w:pPr>
        <w:widowControl w:val="1"/>
        <w:ind w:hanging="15"/>
        <w:jc w:val="center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before="0" w:line="240" w:lineRule="auto"/>
        <w:ind w:hanging="15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before="0" w:line="240" w:lineRule="auto"/>
        <w:ind w:hanging="15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</w:rPr>
        <w:drawing>
          <wp:inline distB="114300" distT="114300" distL="114300" distR="114300">
            <wp:extent cx="1138238" cy="564638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56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</w:rPr>
        <w:drawing>
          <wp:inline distB="114300" distT="114300" distL="114300" distR="114300">
            <wp:extent cx="1214438" cy="56051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7236" l="0" r="0" t="4605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560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</w:rPr>
        <w:drawing>
          <wp:inline distB="114300" distT="114300" distL="114300" distR="114300">
            <wp:extent cx="1366838" cy="49785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497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</w:rPr>
        <w:drawing>
          <wp:inline distB="114300" distT="114300" distL="114300" distR="114300">
            <wp:extent cx="1652588" cy="453241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4532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</w:rPr>
        <w:drawing>
          <wp:inline distB="114300" distT="114300" distL="114300" distR="114300">
            <wp:extent cx="1233488" cy="45873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458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2" w:type="default"/>
      <w:footerReference r:id="rId13" w:type="firs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8"/>
    <w:bookmarkEnd w:id="8"/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9"/>
    <w:bookmarkEnd w:id="9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/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